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8AE2" w14:textId="77777777" w:rsidR="00B667E7" w:rsidRPr="00B667E7" w:rsidRDefault="00B667E7" w:rsidP="00B667E7">
      <w:pPr>
        <w:spacing w:after="150" w:line="276" w:lineRule="auto"/>
        <w:rPr>
          <w:rFonts w:asciiTheme="minorHAnsi" w:eastAsia="Times New Roman" w:hAnsiTheme="minorHAnsi" w:cstheme="minorBidi"/>
          <w:b/>
          <w:sz w:val="12"/>
          <w:szCs w:val="12"/>
          <w:lang w:eastAsia="cs-CZ"/>
        </w:rPr>
      </w:pPr>
    </w:p>
    <w:p w14:paraId="334D75B5" w14:textId="3F1FFDD0" w:rsidR="00EB7754" w:rsidRPr="00464A5D" w:rsidRDefault="00F80F60" w:rsidP="00464A5D">
      <w:pPr>
        <w:spacing w:after="150"/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</w:pPr>
      <w:r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 xml:space="preserve">Exportéři hledají nové trhy. Diverzifikace je klíčem ke stabilitě a odolnosti, ukázal průzkum </w:t>
      </w:r>
      <w:proofErr w:type="spellStart"/>
      <w:r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CzechTrade</w:t>
      </w:r>
      <w:proofErr w:type="spellEnd"/>
    </w:p>
    <w:p w14:paraId="57442D11" w14:textId="7E22D6D1" w:rsidR="00071CB5" w:rsidRPr="00444D26" w:rsidRDefault="00B667E7" w:rsidP="00444D26">
      <w:pPr>
        <w:spacing w:after="150" w:line="276" w:lineRule="auto"/>
        <w:rPr>
          <w:rFonts w:asciiTheme="minorHAnsi" w:eastAsia="Times New Roman" w:hAnsiTheme="minorHAnsi" w:cstheme="minorHAnsi"/>
          <w:b/>
          <w:bCs/>
          <w:sz w:val="32"/>
          <w:szCs w:val="32"/>
          <w:lang w:eastAsia="cs-CZ"/>
        </w:rPr>
      </w:pPr>
      <w:r w:rsidRPr="527A6831">
        <w:rPr>
          <w:rFonts w:asciiTheme="minorHAnsi" w:eastAsia="Times New Roman" w:hAnsiTheme="minorHAnsi" w:cstheme="minorBidi"/>
          <w:i/>
          <w:lang w:eastAsia="cs-CZ"/>
        </w:rPr>
        <w:t>Praha</w:t>
      </w:r>
      <w:r w:rsidRPr="00A714C7">
        <w:rPr>
          <w:rFonts w:asciiTheme="minorHAnsi" w:eastAsia="Times New Roman" w:hAnsiTheme="minorHAnsi" w:cstheme="minorBidi"/>
          <w:i/>
          <w:lang w:eastAsia="cs-CZ"/>
        </w:rPr>
        <w:t xml:space="preserve">, </w:t>
      </w:r>
      <w:r w:rsidR="00EF4A63">
        <w:rPr>
          <w:rFonts w:asciiTheme="minorHAnsi" w:eastAsia="Times New Roman" w:hAnsiTheme="minorHAnsi" w:cstheme="minorBidi"/>
          <w:i/>
          <w:lang w:eastAsia="cs-CZ"/>
        </w:rPr>
        <w:t>7</w:t>
      </w:r>
      <w:r w:rsidR="00AA3C3C" w:rsidRPr="00A714C7">
        <w:rPr>
          <w:rFonts w:asciiTheme="minorHAnsi" w:eastAsia="Times New Roman" w:hAnsiTheme="minorHAnsi" w:cstheme="minorBidi"/>
          <w:i/>
          <w:lang w:eastAsia="cs-CZ"/>
        </w:rPr>
        <w:t xml:space="preserve">. </w:t>
      </w:r>
      <w:r w:rsidR="00291AFC">
        <w:rPr>
          <w:rFonts w:asciiTheme="minorHAnsi" w:eastAsia="Times New Roman" w:hAnsiTheme="minorHAnsi" w:cstheme="minorBidi"/>
          <w:i/>
          <w:lang w:eastAsia="cs-CZ"/>
        </w:rPr>
        <w:t>dubna</w:t>
      </w:r>
      <w:r w:rsidR="00AB5EED" w:rsidRPr="527A6831">
        <w:rPr>
          <w:rFonts w:asciiTheme="minorHAnsi" w:eastAsia="Times New Roman" w:hAnsiTheme="minorHAnsi" w:cstheme="minorBidi"/>
          <w:i/>
          <w:lang w:eastAsia="cs-CZ"/>
        </w:rPr>
        <w:t xml:space="preserve"> 202</w:t>
      </w:r>
      <w:r w:rsidR="004B17FE">
        <w:rPr>
          <w:rFonts w:asciiTheme="minorHAnsi" w:eastAsia="Times New Roman" w:hAnsiTheme="minorHAnsi" w:cstheme="minorBidi"/>
          <w:i/>
          <w:lang w:eastAsia="cs-CZ"/>
        </w:rPr>
        <w:t>5</w:t>
      </w:r>
    </w:p>
    <w:p w14:paraId="2ABB73AC" w14:textId="01FD860E" w:rsidR="00C62566" w:rsidRDefault="00E9383D" w:rsidP="00D3518C">
      <w:pPr>
        <w:pStyle w:val="xmsonormal"/>
        <w:rPr>
          <w:b/>
          <w:bCs/>
        </w:rPr>
      </w:pPr>
      <w:r w:rsidRPr="00E9383D">
        <w:rPr>
          <w:b/>
          <w:bCs/>
        </w:rPr>
        <w:t xml:space="preserve">České firmy přehodnocují své exportní strategie v reakci na geopolitický vývoj, regulatorní změny </w:t>
      </w:r>
      <w:r w:rsidR="004E182C">
        <w:rPr>
          <w:b/>
          <w:bCs/>
        </w:rPr>
        <w:br/>
      </w:r>
      <w:r w:rsidRPr="00E9383D">
        <w:rPr>
          <w:b/>
          <w:bCs/>
        </w:rPr>
        <w:t>a proměnlivou situaci na globálních trzích</w:t>
      </w:r>
      <w:r>
        <w:rPr>
          <w:b/>
          <w:bCs/>
        </w:rPr>
        <w:t>. Vychází to z</w:t>
      </w:r>
      <w:r w:rsidR="00C62566" w:rsidRPr="00C62566">
        <w:rPr>
          <w:b/>
          <w:bCs/>
        </w:rPr>
        <w:t xml:space="preserve"> aktuálního průzkumu agentury </w:t>
      </w:r>
      <w:proofErr w:type="spellStart"/>
      <w:r w:rsidR="00C62566" w:rsidRPr="00C62566">
        <w:rPr>
          <w:b/>
          <w:bCs/>
        </w:rPr>
        <w:t>CzechTrade</w:t>
      </w:r>
      <w:proofErr w:type="spellEnd"/>
      <w:r w:rsidR="00C62566" w:rsidRPr="00C62566">
        <w:rPr>
          <w:b/>
          <w:bCs/>
        </w:rPr>
        <w:t>, do kterého se zapojilo</w:t>
      </w:r>
      <w:r>
        <w:rPr>
          <w:b/>
          <w:bCs/>
        </w:rPr>
        <w:t xml:space="preserve"> 132 vrcholných zástupců českých firem.</w:t>
      </w:r>
      <w:r w:rsidR="00C62566" w:rsidRPr="00C62566">
        <w:rPr>
          <w:b/>
          <w:bCs/>
        </w:rPr>
        <w:t xml:space="preserve"> </w:t>
      </w:r>
      <w:r>
        <w:rPr>
          <w:b/>
          <w:bCs/>
        </w:rPr>
        <w:t xml:space="preserve">Podle průzkumu </w:t>
      </w:r>
      <w:r w:rsidR="00C62566" w:rsidRPr="00C62566">
        <w:rPr>
          <w:b/>
          <w:bCs/>
        </w:rPr>
        <w:t>směřuje 93 %</w:t>
      </w:r>
      <w:r>
        <w:rPr>
          <w:b/>
          <w:bCs/>
        </w:rPr>
        <w:t xml:space="preserve"> </w:t>
      </w:r>
      <w:r w:rsidR="00C62566" w:rsidRPr="00C62566">
        <w:rPr>
          <w:b/>
          <w:bCs/>
        </w:rPr>
        <w:t xml:space="preserve">českého exportu do Evropské unie. Přesto firmy stále více hledají nové příležitosti mimo Evropu. Největší zájem mají o USA, země východní a jižní Asie, Blízký východ a Latinskou Ameriku. Růst exportu do těchto regionů potvrzuje nejen trend, ale i nutnost diverzifikace, kterou aktuálně zvažuje nebo realizuje 47 % </w:t>
      </w:r>
      <w:r w:rsidR="00A54A2E">
        <w:rPr>
          <w:b/>
          <w:bCs/>
        </w:rPr>
        <w:t>respondentů</w:t>
      </w:r>
      <w:r w:rsidR="00C62566" w:rsidRPr="00C62566">
        <w:rPr>
          <w:b/>
          <w:bCs/>
        </w:rPr>
        <w:t xml:space="preserve">. Největší bariéry přitom vidí v teritoriálních rizicích, právních a regulatorních překážkách a komerčních nejistotách. </w:t>
      </w:r>
    </w:p>
    <w:p w14:paraId="70A0FF67" w14:textId="77777777" w:rsidR="00417094" w:rsidRDefault="00417094" w:rsidP="00D3518C">
      <w:pPr>
        <w:pStyle w:val="xmsonormal"/>
        <w:rPr>
          <w:b/>
          <w:bCs/>
        </w:rPr>
      </w:pPr>
    </w:p>
    <w:p w14:paraId="3625CBF6" w14:textId="3CF757A7" w:rsidR="00417094" w:rsidRDefault="00417094" w:rsidP="00D3518C">
      <w:pPr>
        <w:pStyle w:val="xmsonormal"/>
        <w:rPr>
          <w:b/>
          <w:bCs/>
        </w:rPr>
      </w:pPr>
      <w:r w:rsidRPr="00417094">
        <w:t>Diverzifikace je podle p</w:t>
      </w:r>
      <w:r w:rsidR="005C2809">
        <w:t xml:space="preserve">růzkumu agentury </w:t>
      </w:r>
      <w:proofErr w:type="spellStart"/>
      <w:r w:rsidR="005C2809">
        <w:t>CzechTrade</w:t>
      </w:r>
      <w:proofErr w:type="spellEnd"/>
      <w:r w:rsidR="005C2809">
        <w:t xml:space="preserve"> </w:t>
      </w:r>
      <w:r w:rsidRPr="00417094">
        <w:t xml:space="preserve">klíčovým směrem, který exportéři volí k posílení stability svého byznysu. Český export nadále zůstává silně orientovaný na evropské trhy, nicméně podíl exportu mimo EU roste. Například export do Severní Ameriky realizuje 35 % firem, </w:t>
      </w:r>
      <w:r w:rsidR="00A47CB7">
        <w:br/>
      </w:r>
      <w:r w:rsidRPr="00417094">
        <w:t xml:space="preserve">do Asie 32 %, na Blízký východ 30 %, do Latinské Ameriky 26 % a do Afriky 22 % firem. </w:t>
      </w:r>
      <w:r w:rsidRPr="00417094">
        <w:rPr>
          <w:i/>
          <w:iCs/>
        </w:rPr>
        <w:t>„</w:t>
      </w:r>
      <w:r w:rsidR="00D92FEA" w:rsidRPr="00A038AD">
        <w:rPr>
          <w:i/>
          <w:iCs/>
        </w:rPr>
        <w:t>Český export je stále silně orientovaný na evropské trhy, nicméně sledujeme, že dochází k postupné změně trendu – český export roste i mimo EU, čímž se přibližuje k diverzifikovanějším exportním modelům ostatních zemí</w:t>
      </w:r>
      <w:r w:rsidR="00D92FEA">
        <w:rPr>
          <w:i/>
          <w:iCs/>
        </w:rPr>
        <w:t xml:space="preserve">. </w:t>
      </w:r>
      <w:r w:rsidR="00D92FEA" w:rsidRPr="00D92FEA">
        <w:rPr>
          <w:i/>
          <w:iCs/>
        </w:rPr>
        <w:t>To, že firmy nespoléhají jen na evropské trhy, zvyšuje odolnost české ekonomiky</w:t>
      </w:r>
      <w:r w:rsidR="00D92FEA">
        <w:rPr>
          <w:i/>
          <w:iCs/>
        </w:rPr>
        <w:t>,</w:t>
      </w:r>
      <w:r w:rsidRPr="00417094">
        <w:rPr>
          <w:i/>
          <w:iCs/>
        </w:rPr>
        <w:t>“</w:t>
      </w:r>
      <w:r w:rsidRPr="00417094">
        <w:t xml:space="preserve"> </w:t>
      </w:r>
      <w:r w:rsidR="00C8039A">
        <w:t>vysvětluje</w:t>
      </w:r>
      <w:r w:rsidRPr="00417094">
        <w:t xml:space="preserve"> </w:t>
      </w:r>
      <w:r w:rsidRPr="00417094">
        <w:rPr>
          <w:b/>
          <w:bCs/>
        </w:rPr>
        <w:t>Radomil Doležal</w:t>
      </w:r>
      <w:r>
        <w:rPr>
          <w:b/>
          <w:bCs/>
        </w:rPr>
        <w:t xml:space="preserve">, generální ředitel </w:t>
      </w:r>
      <w:proofErr w:type="spellStart"/>
      <w:r>
        <w:rPr>
          <w:b/>
          <w:bCs/>
        </w:rPr>
        <w:t>CzechTrade</w:t>
      </w:r>
      <w:proofErr w:type="spellEnd"/>
      <w:r>
        <w:rPr>
          <w:b/>
          <w:bCs/>
        </w:rPr>
        <w:t>.</w:t>
      </w:r>
    </w:p>
    <w:p w14:paraId="6B587528" w14:textId="77777777" w:rsidR="00A038AD" w:rsidRPr="00BC1DAB" w:rsidRDefault="00A038AD" w:rsidP="00D3518C">
      <w:pPr>
        <w:pStyle w:val="xmsonormal"/>
        <w:rPr>
          <w:b/>
          <w:bCs/>
        </w:rPr>
      </w:pPr>
    </w:p>
    <w:p w14:paraId="4F2A294F" w14:textId="4B6FAEBD" w:rsidR="00BC1DAB" w:rsidRPr="00BC1DAB" w:rsidRDefault="00BC1DAB" w:rsidP="00D3518C">
      <w:pPr>
        <w:pStyle w:val="xmsonormal"/>
        <w:rPr>
          <w:b/>
          <w:bCs/>
        </w:rPr>
      </w:pPr>
      <w:r w:rsidRPr="00BC1DAB">
        <w:rPr>
          <w:b/>
          <w:bCs/>
        </w:rPr>
        <w:t>Firmy vnímají mimoevropské příležitosti</w:t>
      </w:r>
    </w:p>
    <w:p w14:paraId="207650A3" w14:textId="6160870F" w:rsidR="00A038AD" w:rsidRDefault="00127D47" w:rsidP="00D3518C">
      <w:pPr>
        <w:pStyle w:val="xmsonormal"/>
        <w:rPr>
          <w:b/>
          <w:bCs/>
        </w:rPr>
      </w:pPr>
      <w:r w:rsidRPr="00127D47">
        <w:t>Z výsledků průzkumu i statistik exportu vyplývá, že diverzifikace není pouze trendem, ale nutnou součástí exportní strategie, kterou dle výsledků průzkumu volí 47 % firem.</w:t>
      </w:r>
      <w:r w:rsidRPr="00127D47">
        <w:rPr>
          <w:i/>
          <w:iCs/>
        </w:rPr>
        <w:t xml:space="preserve"> </w:t>
      </w:r>
      <w:r w:rsidR="00A038AD" w:rsidRPr="00A038AD">
        <w:rPr>
          <w:i/>
          <w:iCs/>
        </w:rPr>
        <w:t>„</w:t>
      </w:r>
      <w:r w:rsidR="000F19F1" w:rsidRPr="000F19F1">
        <w:rPr>
          <w:i/>
          <w:iCs/>
        </w:rPr>
        <w:t>Aktivní hledání nových příležitostí je rozhodně efektivnější než pasivní čekání na další vývoj. Velmi perspektivní jsou dynamicky rostoucí trhy, které v současnosti sledujeme v Asii, Latinské Americe a Africe. Zvláště zajímavá jsou teritoria, kde roste poptávka po kvalitním evropském zboží, jako například Indie nebo země regionu ASEAN</w:t>
      </w:r>
      <w:r w:rsidR="00A038AD" w:rsidRPr="00A038AD">
        <w:rPr>
          <w:i/>
          <w:iCs/>
        </w:rPr>
        <w:t>,"</w:t>
      </w:r>
      <w:r w:rsidR="00A038AD" w:rsidRPr="00A038AD">
        <w:rPr>
          <w:b/>
          <w:bCs/>
        </w:rPr>
        <w:t xml:space="preserve"> </w:t>
      </w:r>
      <w:r w:rsidR="00A038AD" w:rsidRPr="00A038AD">
        <w:t xml:space="preserve">vysvětluje </w:t>
      </w:r>
      <w:r w:rsidR="00A038AD" w:rsidRPr="00A038AD">
        <w:rPr>
          <w:b/>
          <w:bCs/>
        </w:rPr>
        <w:t>Radomil Doležal.</w:t>
      </w:r>
    </w:p>
    <w:p w14:paraId="0B15335E" w14:textId="77777777" w:rsidR="00967EE6" w:rsidRPr="00A202A5" w:rsidRDefault="00967EE6" w:rsidP="00D3518C">
      <w:pPr>
        <w:pStyle w:val="xmsonormal"/>
      </w:pPr>
    </w:p>
    <w:p w14:paraId="585D7DC4" w14:textId="1E4C0E1D" w:rsidR="005556A0" w:rsidRDefault="00A202A5" w:rsidP="00D3518C">
      <w:pPr>
        <w:pStyle w:val="xmsonormal"/>
      </w:pPr>
      <w:r w:rsidRPr="00A202A5">
        <w:t xml:space="preserve">Dalším důležitým zjištěním průzkumu je skutečnost, že 63 % firem žádný trh neopouští a spíše posiluje svou přítomnost tam, kde má vybudované obchodní vztahy. </w:t>
      </w:r>
      <w:r w:rsidR="00C8039A" w:rsidRPr="00C8039A">
        <w:rPr>
          <w:i/>
          <w:iCs/>
        </w:rPr>
        <w:t>„</w:t>
      </w:r>
      <w:r w:rsidRPr="00A202A5">
        <w:rPr>
          <w:i/>
          <w:iCs/>
        </w:rPr>
        <w:t>To ukazuje na obezřetný přístup českých exportérů, kteří kombinují stabilitu s hledáním nových příležitostí</w:t>
      </w:r>
      <w:r w:rsidR="00C8039A" w:rsidRPr="00C8039A">
        <w:rPr>
          <w:i/>
          <w:iCs/>
        </w:rPr>
        <w:t>,“</w:t>
      </w:r>
      <w:r w:rsidR="00C8039A">
        <w:t xml:space="preserve"> říká </w:t>
      </w:r>
      <w:r w:rsidR="00C8039A" w:rsidRPr="00C8039A">
        <w:rPr>
          <w:b/>
          <w:bCs/>
        </w:rPr>
        <w:t>Radomil Doležal</w:t>
      </w:r>
      <w:r w:rsidR="00C8039A">
        <w:t>.</w:t>
      </w:r>
      <w:r>
        <w:t xml:space="preserve"> </w:t>
      </w:r>
      <w:r w:rsidRPr="00A202A5">
        <w:t xml:space="preserve">Za pozitivní trend lze považovat i to, že více než 30 % firem nepovažuje žádnou zemi za vyloženě rizikovou a spoléhá na vlastní schopnosti a znalost trhu. </w:t>
      </w:r>
      <w:r w:rsidR="00E5576B">
        <w:t>I přesto na otázku nejrizikovějších oblastí firmy nejčastěji uváděly Rusko, země Blízkého východu a Afriky</w:t>
      </w:r>
      <w:r w:rsidR="00D96F6A">
        <w:t>.</w:t>
      </w:r>
    </w:p>
    <w:p w14:paraId="25E6490D" w14:textId="77777777" w:rsidR="00BF4A41" w:rsidRDefault="00BF4A41" w:rsidP="00D3518C">
      <w:pPr>
        <w:pStyle w:val="xmsonormal"/>
      </w:pPr>
    </w:p>
    <w:p w14:paraId="42214487" w14:textId="271F69BC" w:rsidR="003E3F40" w:rsidRPr="005F5A0E" w:rsidRDefault="006C1129" w:rsidP="00D3518C">
      <w:pPr>
        <w:pStyle w:val="xmsonormal"/>
        <w:rPr>
          <w:b/>
          <w:bCs/>
        </w:rPr>
      </w:pPr>
      <w:r w:rsidRPr="006C1129">
        <w:rPr>
          <w:b/>
          <w:bCs/>
        </w:rPr>
        <w:t>Teritoriální i komerční rizika</w:t>
      </w:r>
    </w:p>
    <w:p w14:paraId="1C9ACAB8" w14:textId="77777777" w:rsidR="009245B4" w:rsidRDefault="002D2676" w:rsidP="00D3518C">
      <w:pPr>
        <w:pStyle w:val="xmsonormal"/>
      </w:pPr>
      <w:r w:rsidRPr="00EF4A63">
        <w:t xml:space="preserve">Rizika spojená s exportem se liší jak podle teritorií, tak podle povahy hrozeb. </w:t>
      </w:r>
      <w:r w:rsidR="003E3F40" w:rsidRPr="00EF4A63">
        <w:t xml:space="preserve">Více než polovina firem vnímá největší rizika </w:t>
      </w:r>
      <w:r w:rsidRPr="00EF4A63">
        <w:t xml:space="preserve">právě </w:t>
      </w:r>
      <w:r w:rsidR="003E3F40" w:rsidRPr="00EF4A63">
        <w:t xml:space="preserve">v teritoriálních faktorech, jako jsou makroekonomická nestabilita, politické změny nebo bezpečnostní situace. Necelých 40 % poukazuje na právní a regulatorní bariéry, </w:t>
      </w:r>
      <w:r w:rsidRPr="00EF4A63">
        <w:t xml:space="preserve">stejně tak jako </w:t>
      </w:r>
      <w:r w:rsidR="003E3F40" w:rsidRPr="00EF4A63">
        <w:t xml:space="preserve">komerční nejistoty včetně nespolehlivosti partnerů. </w:t>
      </w:r>
      <w:r w:rsidR="003E3F40" w:rsidRPr="003E3F40">
        <w:t xml:space="preserve">Mezi další často zmiňované hrozby patří i měnová a ekonomická rizika – například kolísání směnných kurzů, inflace či omezení převodu zisků do zahraničí. Tato rizika podle 26 % firem mohou výrazně ovlivnit ziskovost exportu, zejména v důsledku posilování koruny nebo změn úrokových sazeb. Naopak kulturní odlišnosti </w:t>
      </w:r>
    </w:p>
    <w:p w14:paraId="51FF94A1" w14:textId="4256F250" w:rsidR="00691E3D" w:rsidRDefault="003E3F40" w:rsidP="00D3518C">
      <w:pPr>
        <w:pStyle w:val="xmsonormal"/>
      </w:pPr>
      <w:r w:rsidRPr="003E3F40">
        <w:t>a logistická rizika firmy vnímají jako méně závažné – jen 11 % exportérů označilo kulturní a jazykové bariéry za výraznou překážku a logistické komplikace, jako je poškození či ztráta zboží při přepravě, představují zásadní problém pro pouhých 7,6 % respondentů.</w:t>
      </w:r>
    </w:p>
    <w:p w14:paraId="7DBFF6F1" w14:textId="77777777" w:rsidR="00957D9A" w:rsidRDefault="00691E3D" w:rsidP="00D3518C">
      <w:pPr>
        <w:pStyle w:val="xmsonormal"/>
      </w:pPr>
      <w:r>
        <w:lastRenderedPageBreak/>
        <w:t>Dalším zajímavým</w:t>
      </w:r>
      <w:r w:rsidRPr="00691E3D">
        <w:t xml:space="preserve"> zjištěním je, že 34,9 % firem využívá k minimalizaci rizik také platební a finanční nástroje, jako jsou dokumentární akreditivy nebo bankovní záruky. Překvapivě málo exportérů však sahá po exportním pojištění, které může být v řadě situací klíčovým nástrojem pro zajištění obchodních transakcí.</w:t>
      </w:r>
      <w:r w:rsidR="00714BDE">
        <w:t xml:space="preserve"> </w:t>
      </w:r>
      <w:r w:rsidR="003E3F40" w:rsidRPr="003E3F40">
        <w:t xml:space="preserve">Kromě nástrojů na řízení rizik firmy očekávají také větší podporu od </w:t>
      </w:r>
      <w:r w:rsidR="00957D9A">
        <w:br/>
      </w:r>
      <w:r w:rsidR="003E3F40" w:rsidRPr="003E3F40">
        <w:t xml:space="preserve">státu – a to zejména lepší dostupnost informací o rizicích na jednotlivých trzích (48 %), </w:t>
      </w:r>
    </w:p>
    <w:p w14:paraId="266A7ED3" w14:textId="3323C16B" w:rsidR="00F576CF" w:rsidRDefault="003E3F40" w:rsidP="00D3518C">
      <w:pPr>
        <w:pStyle w:val="xmsonormal"/>
      </w:pPr>
      <w:r w:rsidRPr="003E3F40">
        <w:t>kvalitní právní poradenství (31 %) či usnadnění financování exportních aktivit (30 %).</w:t>
      </w:r>
    </w:p>
    <w:p w14:paraId="2E84B83F" w14:textId="77777777" w:rsidR="005556A0" w:rsidRDefault="005556A0" w:rsidP="00D3518C">
      <w:pPr>
        <w:pStyle w:val="xmsonormal"/>
      </w:pPr>
    </w:p>
    <w:p w14:paraId="7735AC21" w14:textId="0EE4ECE0" w:rsidR="00F576CF" w:rsidRDefault="005556A0" w:rsidP="005F5A0E">
      <w:pPr>
        <w:pStyle w:val="xmsonormal"/>
      </w:pPr>
      <w:r w:rsidRPr="005556A0">
        <w:t xml:space="preserve">Firmy také zdůrazňují potřebu </w:t>
      </w:r>
      <w:r w:rsidR="00AF2D15">
        <w:t>odborné asistence</w:t>
      </w:r>
      <w:r w:rsidRPr="005556A0">
        <w:t xml:space="preserve"> při vstupu na nové trhy. V tomto směru </w:t>
      </w:r>
      <w:proofErr w:type="spellStart"/>
      <w:r w:rsidRPr="005556A0">
        <w:t>CzechTrade</w:t>
      </w:r>
      <w:proofErr w:type="spellEnd"/>
      <w:r w:rsidRPr="005556A0">
        <w:t xml:space="preserve"> nabízí</w:t>
      </w:r>
      <w:r w:rsidR="00C75210">
        <w:t xml:space="preserve"> individuální službu sestavenou firmě na míru</w:t>
      </w:r>
      <w:r w:rsidR="00C75210" w:rsidRPr="00C75210">
        <w:t xml:space="preserve">, </w:t>
      </w:r>
      <w:r w:rsidR="00C75210">
        <w:t xml:space="preserve">která </w:t>
      </w:r>
      <w:r w:rsidR="00C75210" w:rsidRPr="00C75210">
        <w:t>může obsahovat</w:t>
      </w:r>
      <w:r w:rsidR="00C75210">
        <w:t xml:space="preserve"> například </w:t>
      </w:r>
      <w:r w:rsidR="00C75210" w:rsidRPr="00C75210">
        <w:t>základní průzkum trhu</w:t>
      </w:r>
      <w:r w:rsidR="00C75210">
        <w:t xml:space="preserve"> či </w:t>
      </w:r>
      <w:r w:rsidR="00C75210" w:rsidRPr="00C75210">
        <w:t>doporučení vhodné formy vstupu na trh</w:t>
      </w:r>
      <w:r w:rsidR="00C75210">
        <w:t xml:space="preserve">, ale také vyhledávání obchodních kontaktů </w:t>
      </w:r>
      <w:r w:rsidR="00EB1A7B">
        <w:t>nebo</w:t>
      </w:r>
      <w:r w:rsidR="00C75210">
        <w:t xml:space="preserve"> </w:t>
      </w:r>
      <w:r w:rsidR="00C75210" w:rsidRPr="00C75210">
        <w:t>doporučení</w:t>
      </w:r>
      <w:r w:rsidR="00C75210">
        <w:t xml:space="preserve"> </w:t>
      </w:r>
      <w:r w:rsidRPr="005556A0">
        <w:t>klíčových mezinárodních veletr</w:t>
      </w:r>
      <w:r w:rsidR="00C75210">
        <w:t>hů</w:t>
      </w:r>
      <w:r w:rsidRPr="005556A0">
        <w:t xml:space="preserve">. </w:t>
      </w:r>
      <w:r w:rsidR="00C75210">
        <w:t>Tyto služby</w:t>
      </w:r>
      <w:r w:rsidRPr="005556A0">
        <w:t xml:space="preserve"> pomáhají českým exportérům lépe se orientovat v místních specifikách, předcházet chybám a posilovat konkurenceschopnost.</w:t>
      </w:r>
      <w:r>
        <w:t xml:space="preserve"> </w:t>
      </w:r>
    </w:p>
    <w:p w14:paraId="652EB000" w14:textId="77777777" w:rsidR="00B667E7" w:rsidRPr="00C273BA" w:rsidRDefault="00B667E7" w:rsidP="00B667E7">
      <w:pPr>
        <w:pStyle w:val="xmsonormal"/>
        <w:rPr>
          <w:b/>
          <w:bCs/>
        </w:rPr>
      </w:pPr>
    </w:p>
    <w:p w14:paraId="10FC4AE7" w14:textId="77777777" w:rsidR="00B667E7" w:rsidRPr="00D0363C" w:rsidRDefault="00B667E7" w:rsidP="00B667E7">
      <w:pPr>
        <w:pStyle w:val="xmsonormal"/>
        <w:rPr>
          <w:i/>
          <w:iCs/>
        </w:rPr>
      </w:pPr>
    </w:p>
    <w:p w14:paraId="52DA7F38" w14:textId="28816A3B" w:rsidR="00B46874" w:rsidRDefault="00B46874" w:rsidP="00B46874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 xml:space="preserve">O agentuře </w:t>
      </w:r>
      <w:proofErr w:type="spellStart"/>
      <w:r w:rsidRPr="00B46874">
        <w:rPr>
          <w:b/>
          <w:bCs/>
          <w:sz w:val="18"/>
          <w:szCs w:val="18"/>
        </w:rPr>
        <w:t>CzechTrade</w:t>
      </w:r>
      <w:proofErr w:type="spellEnd"/>
    </w:p>
    <w:p w14:paraId="1562810A" w14:textId="77777777" w:rsidR="00B46874" w:rsidRPr="00B46874" w:rsidRDefault="00B46874" w:rsidP="00B46874">
      <w:pPr>
        <w:pStyle w:val="xmsonormal"/>
        <w:rPr>
          <w:b/>
          <w:bCs/>
          <w:sz w:val="16"/>
          <w:szCs w:val="16"/>
        </w:rPr>
      </w:pPr>
    </w:p>
    <w:p w14:paraId="3A5D13FE" w14:textId="2C458DFF" w:rsidR="00D3518C" w:rsidRPr="00B6383E" w:rsidRDefault="00D3518C" w:rsidP="00D3518C">
      <w:pPr>
        <w:pStyle w:val="xmsonormal"/>
        <w:rPr>
          <w:i/>
          <w:iCs/>
          <w:sz w:val="18"/>
          <w:szCs w:val="18"/>
        </w:rPr>
      </w:pPr>
      <w:proofErr w:type="spellStart"/>
      <w:r w:rsidRPr="00B6383E">
        <w:rPr>
          <w:i/>
          <w:iCs/>
          <w:sz w:val="18"/>
          <w:szCs w:val="18"/>
        </w:rPr>
        <w:t>CzechTrade</w:t>
      </w:r>
      <w:proofErr w:type="spellEnd"/>
      <w:r w:rsidRPr="00B6383E">
        <w:rPr>
          <w:i/>
          <w:iCs/>
          <w:sz w:val="18"/>
          <w:szCs w:val="18"/>
        </w:rPr>
        <w:t xml:space="preserve"> je agentura na podporu obchodu a již 26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B6383E">
        <w:rPr>
          <w:i/>
          <w:iCs/>
          <w:sz w:val="18"/>
          <w:szCs w:val="18"/>
        </w:rPr>
        <w:t>CzechTrade</w:t>
      </w:r>
      <w:proofErr w:type="spellEnd"/>
      <w:r w:rsidRPr="00B6383E">
        <w:rPr>
          <w:i/>
          <w:iCs/>
          <w:sz w:val="18"/>
          <w:szCs w:val="18"/>
        </w:rPr>
        <w:t xml:space="preserve"> poskytují služby v 66 zemích na pěti kontinentech. Provozuje portál </w:t>
      </w:r>
      <w:hyperlink r:id="rId6" w:history="1">
        <w:r w:rsidRPr="00E273D1">
          <w:rPr>
            <w:rStyle w:val="Hypertextovodkaz"/>
            <w:i/>
            <w:iCs/>
            <w:sz w:val="18"/>
            <w:szCs w:val="18"/>
          </w:rPr>
          <w:t>BusinessInfo.cz</w:t>
        </w:r>
      </w:hyperlink>
      <w:r w:rsidRPr="00B6383E">
        <w:rPr>
          <w:i/>
          <w:iCs/>
          <w:sz w:val="18"/>
          <w:szCs w:val="18"/>
        </w:rPr>
        <w:t xml:space="preserve"> a magazín </w:t>
      </w:r>
      <w:hyperlink r:id="rId7" w:history="1">
        <w:r w:rsidRPr="00E273D1">
          <w:rPr>
            <w:rStyle w:val="Hypertextovodkaz"/>
            <w:i/>
            <w:iCs/>
            <w:sz w:val="18"/>
            <w:szCs w:val="18"/>
          </w:rPr>
          <w:t>Exportmag.cz</w:t>
        </w:r>
      </w:hyperlink>
      <w:r w:rsidRPr="00B6383E">
        <w:rPr>
          <w:i/>
          <w:iCs/>
          <w:sz w:val="18"/>
          <w:szCs w:val="18"/>
        </w:rPr>
        <w:t>. Více informací na </w:t>
      </w:r>
      <w:hyperlink r:id="rId8" w:tgtFrame="_blank" w:tooltip="http://www.czechtrade.cz" w:history="1">
        <w:r w:rsidR="006D02CE">
          <w:rPr>
            <w:rStyle w:val="Hypertextovodkaz"/>
            <w:i/>
            <w:iCs/>
            <w:sz w:val="18"/>
            <w:szCs w:val="18"/>
          </w:rPr>
          <w:t>C</w:t>
        </w:r>
        <w:r w:rsidR="006D02CE" w:rsidRPr="00B6383E">
          <w:rPr>
            <w:rStyle w:val="Hypertextovodkaz"/>
            <w:i/>
            <w:iCs/>
            <w:sz w:val="18"/>
            <w:szCs w:val="18"/>
          </w:rPr>
          <w:t>zechtrade.cz</w:t>
        </w:r>
      </w:hyperlink>
      <w:r w:rsidRPr="00B6383E">
        <w:rPr>
          <w:i/>
          <w:iCs/>
          <w:sz w:val="18"/>
          <w:szCs w:val="18"/>
        </w:rPr>
        <w:t>.</w:t>
      </w:r>
    </w:p>
    <w:p w14:paraId="53D8CFAF" w14:textId="77777777" w:rsidR="00D3518C" w:rsidRDefault="00D3518C" w:rsidP="00B46874">
      <w:pPr>
        <w:pStyle w:val="xmsonormal"/>
        <w:jc w:val="both"/>
      </w:pPr>
    </w:p>
    <w:p w14:paraId="392A6468" w14:textId="3747AD86" w:rsidR="00B46874" w:rsidRPr="00CC55E8" w:rsidRDefault="00B46874" w:rsidP="00B46874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4F475EF4" wp14:editId="1E8C59C9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E33060D" w14:textId="77777777" w:rsidR="00B46874" w:rsidRPr="00540F45" w:rsidRDefault="00B46874" w:rsidP="00B46874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367C2532" w14:textId="77777777" w:rsidR="00B46874" w:rsidRPr="00540F45" w:rsidRDefault="00B46874" w:rsidP="00B46874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3ABCE66" w14:textId="77777777" w:rsidR="00B46874" w:rsidRPr="001A4A7B" w:rsidRDefault="00B46874" w:rsidP="00B46874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9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19F3BA" w14:textId="77777777" w:rsidR="00B46874" w:rsidRDefault="00B46874" w:rsidP="00B46874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75EF4" id="Rectangle 1" o:spid="_x0000_s1026" style="position:absolute;left:0;text-align:left;margin-left:70.5pt;margin-top:1.5pt;width:523.95pt;height:9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E33060D" w14:textId="77777777" w:rsidR="00B46874" w:rsidRPr="00540F45" w:rsidRDefault="00B46874" w:rsidP="00B46874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367C2532" w14:textId="77777777" w:rsidR="00B46874" w:rsidRPr="00540F45" w:rsidRDefault="00B46874" w:rsidP="00B46874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3ABCE66" w14:textId="77777777" w:rsidR="00B46874" w:rsidRPr="001A4A7B" w:rsidRDefault="00B46874" w:rsidP="00B46874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0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19F3BA" w14:textId="77777777" w:rsidR="00B46874" w:rsidRDefault="00B46874" w:rsidP="00B4687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A5ACDBD" w14:textId="77777777" w:rsidR="00B46874" w:rsidRDefault="00B46874" w:rsidP="00B46874"/>
    <w:p w14:paraId="78938AF9" w14:textId="77777777" w:rsidR="00B46874" w:rsidRDefault="00B46874" w:rsidP="00B46874"/>
    <w:p w14:paraId="2DF220C1" w14:textId="77777777" w:rsidR="00B667E7" w:rsidRDefault="00B667E7" w:rsidP="00B667E7"/>
    <w:p w14:paraId="1244E9B1" w14:textId="77777777" w:rsidR="008A1EAE" w:rsidRDefault="008A1EAE"/>
    <w:sectPr w:rsidR="008A1EA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A3F8" w14:textId="77777777" w:rsidR="00281B09" w:rsidRDefault="00281B09">
      <w:r>
        <w:separator/>
      </w:r>
    </w:p>
  </w:endnote>
  <w:endnote w:type="continuationSeparator" w:id="0">
    <w:p w14:paraId="787ACF73" w14:textId="77777777" w:rsidR="00281B09" w:rsidRDefault="00281B09">
      <w:r>
        <w:continuationSeparator/>
      </w:r>
    </w:p>
  </w:endnote>
  <w:endnote w:type="continuationNotice" w:id="1">
    <w:p w14:paraId="250A3220" w14:textId="77777777" w:rsidR="00281B09" w:rsidRDefault="00281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8C3D" w14:textId="77777777" w:rsidR="00281B09" w:rsidRDefault="00281B09">
      <w:r>
        <w:separator/>
      </w:r>
    </w:p>
  </w:footnote>
  <w:footnote w:type="continuationSeparator" w:id="0">
    <w:p w14:paraId="479F79D8" w14:textId="77777777" w:rsidR="00281B09" w:rsidRDefault="00281B09">
      <w:r>
        <w:continuationSeparator/>
      </w:r>
    </w:p>
  </w:footnote>
  <w:footnote w:type="continuationNotice" w:id="1">
    <w:p w14:paraId="6F5E4D02" w14:textId="77777777" w:rsidR="00281B09" w:rsidRDefault="00281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7585" w14:textId="77777777" w:rsidR="00E94480" w:rsidRDefault="00D556D0" w:rsidP="00D54BF5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2C39E2" wp14:editId="5DB53DF6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0308292A" w14:textId="77777777" w:rsidR="00E94480" w:rsidRDefault="00E94480">
    <w:pPr>
      <w:pStyle w:val="Zhlav"/>
    </w:pPr>
  </w:p>
  <w:p w14:paraId="6B1FEC6C" w14:textId="77777777" w:rsidR="00E94480" w:rsidRDefault="00E944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E7"/>
    <w:rsid w:val="00026A7E"/>
    <w:rsid w:val="00051ED2"/>
    <w:rsid w:val="0006410B"/>
    <w:rsid w:val="00071CB5"/>
    <w:rsid w:val="00075B8D"/>
    <w:rsid w:val="00093393"/>
    <w:rsid w:val="000B3D04"/>
    <w:rsid w:val="000D3867"/>
    <w:rsid w:val="000E10B8"/>
    <w:rsid w:val="000F19F1"/>
    <w:rsid w:val="000F233C"/>
    <w:rsid w:val="001069BF"/>
    <w:rsid w:val="00127A18"/>
    <w:rsid w:val="00127D47"/>
    <w:rsid w:val="001325BB"/>
    <w:rsid w:val="0015244F"/>
    <w:rsid w:val="00161FB8"/>
    <w:rsid w:val="00167F9D"/>
    <w:rsid w:val="00177C78"/>
    <w:rsid w:val="001937CA"/>
    <w:rsid w:val="00194BF1"/>
    <w:rsid w:val="001A52F0"/>
    <w:rsid w:val="001B52A8"/>
    <w:rsid w:val="001C1CC8"/>
    <w:rsid w:val="001E0AA0"/>
    <w:rsid w:val="001F10D4"/>
    <w:rsid w:val="00201BE9"/>
    <w:rsid w:val="00204F26"/>
    <w:rsid w:val="002434C5"/>
    <w:rsid w:val="00245A21"/>
    <w:rsid w:val="00281B09"/>
    <w:rsid w:val="00281F38"/>
    <w:rsid w:val="00283A24"/>
    <w:rsid w:val="00291AFC"/>
    <w:rsid w:val="00294F97"/>
    <w:rsid w:val="002A7179"/>
    <w:rsid w:val="002D2676"/>
    <w:rsid w:val="002D2CA2"/>
    <w:rsid w:val="002E7708"/>
    <w:rsid w:val="003102F1"/>
    <w:rsid w:val="00330AEB"/>
    <w:rsid w:val="00335468"/>
    <w:rsid w:val="0034133B"/>
    <w:rsid w:val="00343AA5"/>
    <w:rsid w:val="00350270"/>
    <w:rsid w:val="00366152"/>
    <w:rsid w:val="003731CC"/>
    <w:rsid w:val="0037791F"/>
    <w:rsid w:val="00377B07"/>
    <w:rsid w:val="00383B09"/>
    <w:rsid w:val="003926C5"/>
    <w:rsid w:val="003A5C71"/>
    <w:rsid w:val="003A75E6"/>
    <w:rsid w:val="003B101E"/>
    <w:rsid w:val="003B3684"/>
    <w:rsid w:val="003B7255"/>
    <w:rsid w:val="003C2EBD"/>
    <w:rsid w:val="003D0F7A"/>
    <w:rsid w:val="003D65C0"/>
    <w:rsid w:val="003E3F40"/>
    <w:rsid w:val="004002A6"/>
    <w:rsid w:val="004054F9"/>
    <w:rsid w:val="004109E6"/>
    <w:rsid w:val="00413A10"/>
    <w:rsid w:val="00414C56"/>
    <w:rsid w:val="00415A1D"/>
    <w:rsid w:val="00417094"/>
    <w:rsid w:val="00444D26"/>
    <w:rsid w:val="00454C30"/>
    <w:rsid w:val="0046013D"/>
    <w:rsid w:val="00464A5D"/>
    <w:rsid w:val="00471CF4"/>
    <w:rsid w:val="00473A02"/>
    <w:rsid w:val="004802B5"/>
    <w:rsid w:val="00492C91"/>
    <w:rsid w:val="00494194"/>
    <w:rsid w:val="00496BA1"/>
    <w:rsid w:val="00497517"/>
    <w:rsid w:val="004A144C"/>
    <w:rsid w:val="004A5543"/>
    <w:rsid w:val="004A6645"/>
    <w:rsid w:val="004B17FE"/>
    <w:rsid w:val="004B4C31"/>
    <w:rsid w:val="004C76F6"/>
    <w:rsid w:val="004E182C"/>
    <w:rsid w:val="004E6163"/>
    <w:rsid w:val="00506B8F"/>
    <w:rsid w:val="00544720"/>
    <w:rsid w:val="00553521"/>
    <w:rsid w:val="005556A0"/>
    <w:rsid w:val="00560CFD"/>
    <w:rsid w:val="0056519A"/>
    <w:rsid w:val="00565889"/>
    <w:rsid w:val="005A7E50"/>
    <w:rsid w:val="005C2809"/>
    <w:rsid w:val="005E6140"/>
    <w:rsid w:val="005E7382"/>
    <w:rsid w:val="005F5A0E"/>
    <w:rsid w:val="00611D0D"/>
    <w:rsid w:val="0063153C"/>
    <w:rsid w:val="00640EA6"/>
    <w:rsid w:val="0064242F"/>
    <w:rsid w:val="00650315"/>
    <w:rsid w:val="00652022"/>
    <w:rsid w:val="00674FF5"/>
    <w:rsid w:val="006818AF"/>
    <w:rsid w:val="00684E46"/>
    <w:rsid w:val="00687A63"/>
    <w:rsid w:val="00691E3D"/>
    <w:rsid w:val="006C1129"/>
    <w:rsid w:val="006D02CE"/>
    <w:rsid w:val="006E06CF"/>
    <w:rsid w:val="006E3914"/>
    <w:rsid w:val="006F7C4D"/>
    <w:rsid w:val="007132B7"/>
    <w:rsid w:val="00714BDE"/>
    <w:rsid w:val="0075209B"/>
    <w:rsid w:val="00757126"/>
    <w:rsid w:val="007A10ED"/>
    <w:rsid w:val="007A4F95"/>
    <w:rsid w:val="007B43A1"/>
    <w:rsid w:val="007C141F"/>
    <w:rsid w:val="007D23F4"/>
    <w:rsid w:val="007D7B56"/>
    <w:rsid w:val="007E2E73"/>
    <w:rsid w:val="007E318B"/>
    <w:rsid w:val="007E483D"/>
    <w:rsid w:val="007F109E"/>
    <w:rsid w:val="00801823"/>
    <w:rsid w:val="00803248"/>
    <w:rsid w:val="00810585"/>
    <w:rsid w:val="008249C8"/>
    <w:rsid w:val="00826C7B"/>
    <w:rsid w:val="0082746D"/>
    <w:rsid w:val="00865CC7"/>
    <w:rsid w:val="00886B04"/>
    <w:rsid w:val="008A1EAE"/>
    <w:rsid w:val="008B0B5A"/>
    <w:rsid w:val="008B29C0"/>
    <w:rsid w:val="008C154C"/>
    <w:rsid w:val="008C1A83"/>
    <w:rsid w:val="008D0506"/>
    <w:rsid w:val="008E0CCD"/>
    <w:rsid w:val="008F04F0"/>
    <w:rsid w:val="008F21DF"/>
    <w:rsid w:val="008F6BC8"/>
    <w:rsid w:val="00917A60"/>
    <w:rsid w:val="009245B4"/>
    <w:rsid w:val="00945FEE"/>
    <w:rsid w:val="00957D9A"/>
    <w:rsid w:val="00957DA7"/>
    <w:rsid w:val="00963EF7"/>
    <w:rsid w:val="00967EE6"/>
    <w:rsid w:val="00993C37"/>
    <w:rsid w:val="009C225C"/>
    <w:rsid w:val="009C7BFA"/>
    <w:rsid w:val="009D10CE"/>
    <w:rsid w:val="009D10DD"/>
    <w:rsid w:val="009D1455"/>
    <w:rsid w:val="009D1616"/>
    <w:rsid w:val="009E47D1"/>
    <w:rsid w:val="00A038AD"/>
    <w:rsid w:val="00A13560"/>
    <w:rsid w:val="00A1681E"/>
    <w:rsid w:val="00A202A5"/>
    <w:rsid w:val="00A44087"/>
    <w:rsid w:val="00A47CB7"/>
    <w:rsid w:val="00A52ED6"/>
    <w:rsid w:val="00A54A2E"/>
    <w:rsid w:val="00A714C7"/>
    <w:rsid w:val="00A74BAD"/>
    <w:rsid w:val="00A83372"/>
    <w:rsid w:val="00A853F9"/>
    <w:rsid w:val="00A860BD"/>
    <w:rsid w:val="00A91B37"/>
    <w:rsid w:val="00A91D05"/>
    <w:rsid w:val="00A93D1D"/>
    <w:rsid w:val="00AA3C3C"/>
    <w:rsid w:val="00AA4276"/>
    <w:rsid w:val="00AB1834"/>
    <w:rsid w:val="00AB3E75"/>
    <w:rsid w:val="00AB573B"/>
    <w:rsid w:val="00AB5EED"/>
    <w:rsid w:val="00AD205B"/>
    <w:rsid w:val="00AD57CC"/>
    <w:rsid w:val="00AF2D15"/>
    <w:rsid w:val="00AF4878"/>
    <w:rsid w:val="00AF648F"/>
    <w:rsid w:val="00B0198C"/>
    <w:rsid w:val="00B06FB9"/>
    <w:rsid w:val="00B07A50"/>
    <w:rsid w:val="00B11EDA"/>
    <w:rsid w:val="00B27873"/>
    <w:rsid w:val="00B35613"/>
    <w:rsid w:val="00B40BE4"/>
    <w:rsid w:val="00B46874"/>
    <w:rsid w:val="00B579CD"/>
    <w:rsid w:val="00B663A9"/>
    <w:rsid w:val="00B667E7"/>
    <w:rsid w:val="00B949DF"/>
    <w:rsid w:val="00BA2318"/>
    <w:rsid w:val="00BA3E90"/>
    <w:rsid w:val="00BB33DE"/>
    <w:rsid w:val="00BB50F9"/>
    <w:rsid w:val="00BC1DAB"/>
    <w:rsid w:val="00BD4E02"/>
    <w:rsid w:val="00BE5922"/>
    <w:rsid w:val="00BF4A41"/>
    <w:rsid w:val="00C11BAF"/>
    <w:rsid w:val="00C138AD"/>
    <w:rsid w:val="00C273BA"/>
    <w:rsid w:val="00C3407D"/>
    <w:rsid w:val="00C43FFD"/>
    <w:rsid w:val="00C47C47"/>
    <w:rsid w:val="00C62566"/>
    <w:rsid w:val="00C64E63"/>
    <w:rsid w:val="00C75210"/>
    <w:rsid w:val="00C8039A"/>
    <w:rsid w:val="00C93502"/>
    <w:rsid w:val="00CB3839"/>
    <w:rsid w:val="00CC7C40"/>
    <w:rsid w:val="00CD2339"/>
    <w:rsid w:val="00CF2296"/>
    <w:rsid w:val="00D035B3"/>
    <w:rsid w:val="00D22E18"/>
    <w:rsid w:val="00D350FB"/>
    <w:rsid w:val="00D3518C"/>
    <w:rsid w:val="00D36A36"/>
    <w:rsid w:val="00D36F20"/>
    <w:rsid w:val="00D41546"/>
    <w:rsid w:val="00D41894"/>
    <w:rsid w:val="00D556D0"/>
    <w:rsid w:val="00D62B26"/>
    <w:rsid w:val="00D80A8D"/>
    <w:rsid w:val="00D87A8C"/>
    <w:rsid w:val="00D92FEA"/>
    <w:rsid w:val="00D96F6A"/>
    <w:rsid w:val="00DA5011"/>
    <w:rsid w:val="00DC0EA6"/>
    <w:rsid w:val="00DC147C"/>
    <w:rsid w:val="00DE2979"/>
    <w:rsid w:val="00E003D3"/>
    <w:rsid w:val="00E06C21"/>
    <w:rsid w:val="00E15B54"/>
    <w:rsid w:val="00E273D1"/>
    <w:rsid w:val="00E319FA"/>
    <w:rsid w:val="00E35E89"/>
    <w:rsid w:val="00E424C4"/>
    <w:rsid w:val="00E530C2"/>
    <w:rsid w:val="00E53B87"/>
    <w:rsid w:val="00E5576B"/>
    <w:rsid w:val="00E55943"/>
    <w:rsid w:val="00E82250"/>
    <w:rsid w:val="00E850B6"/>
    <w:rsid w:val="00E91F5D"/>
    <w:rsid w:val="00E9383D"/>
    <w:rsid w:val="00E94480"/>
    <w:rsid w:val="00E97B02"/>
    <w:rsid w:val="00EA4D1C"/>
    <w:rsid w:val="00EA7BA9"/>
    <w:rsid w:val="00EB1A7B"/>
    <w:rsid w:val="00EB7754"/>
    <w:rsid w:val="00ED4028"/>
    <w:rsid w:val="00EF4A63"/>
    <w:rsid w:val="00F0592D"/>
    <w:rsid w:val="00F157BD"/>
    <w:rsid w:val="00F4702B"/>
    <w:rsid w:val="00F576CF"/>
    <w:rsid w:val="00F65BB6"/>
    <w:rsid w:val="00F65C5C"/>
    <w:rsid w:val="00F67420"/>
    <w:rsid w:val="00F7065E"/>
    <w:rsid w:val="00F80F60"/>
    <w:rsid w:val="00FA6D72"/>
    <w:rsid w:val="00FB28F7"/>
    <w:rsid w:val="00FF64A3"/>
    <w:rsid w:val="0BB122F2"/>
    <w:rsid w:val="0DD616E8"/>
    <w:rsid w:val="1E4BC2FE"/>
    <w:rsid w:val="279F0592"/>
    <w:rsid w:val="3DC02571"/>
    <w:rsid w:val="41D5BAC8"/>
    <w:rsid w:val="527A6831"/>
    <w:rsid w:val="59FEDDFD"/>
    <w:rsid w:val="5F77028F"/>
    <w:rsid w:val="7811E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2094"/>
  <w15:chartTrackingRefBased/>
  <w15:docId w15:val="{A7B5244D-EA8D-47C2-9DC6-F6B6136C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7E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67E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667E7"/>
    <w:pPr>
      <w:spacing w:before="100" w:beforeAutospacing="1" w:after="100" w:afterAutospacing="1"/>
    </w:pPr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6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B667E7"/>
    <w:rPr>
      <w:rFonts w:ascii="Calibri" w:hAnsi="Calibri" w:cs="Calibri"/>
    </w:rPr>
  </w:style>
  <w:style w:type="paragraph" w:customStyle="1" w:styleId="xmsonormal">
    <w:name w:val="x_msonormal"/>
    <w:basedOn w:val="Normln"/>
    <w:rsid w:val="00B667E7"/>
    <w:rPr>
      <w:lang w:eastAsia="cs-CZ"/>
    </w:rPr>
  </w:style>
  <w:style w:type="character" w:customStyle="1" w:styleId="OdstavectextChar">
    <w:name w:val="Odstavec_text Char"/>
    <w:basedOn w:val="Standardnpsmoodstavce"/>
    <w:link w:val="Odstavectext"/>
    <w:qFormat/>
    <w:rsid w:val="00B667E7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B667E7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66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7E7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3D65C0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AF64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64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648F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4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48F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27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Simona%20Vondrov&#225;\Downloads\exportmag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imona%20Vondrov&#225;\Downloads\businessinfo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7</cp:revision>
  <dcterms:created xsi:type="dcterms:W3CDTF">2025-04-07T07:23:00Z</dcterms:created>
  <dcterms:modified xsi:type="dcterms:W3CDTF">2025-04-07T07:44:00Z</dcterms:modified>
</cp:coreProperties>
</file>